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по устранению недостатков,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выявленных в ходе независимой оценки </w:t>
      </w:r>
      <w:r/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качества условий оказания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/>
    </w:p>
    <w:p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Государственное учреждение здравоохранения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/>
    </w:p>
    <w:p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«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Тульский областной клинический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кожно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– венерологический диспансер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»</w:t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(наименование организации)</w:t>
      </w:r>
      <w:r/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Style w:val="721"/>
        <w:tblW w:w="14786" w:type="dxa"/>
        <w:tblLayout w:type="fixed"/>
        <w:tblLook w:val="04A0" w:firstRow="1" w:lastRow="0" w:firstColumn="1" w:lastColumn="0" w:noHBand="0" w:noVBand="1"/>
      </w:tblPr>
      <w:tblGrid>
        <w:gridCol w:w="2616"/>
        <w:gridCol w:w="44"/>
        <w:gridCol w:w="4252"/>
        <w:gridCol w:w="61"/>
        <w:gridCol w:w="1612"/>
        <w:gridCol w:w="28"/>
        <w:gridCol w:w="2538"/>
        <w:gridCol w:w="1905"/>
        <w:gridCol w:w="1730"/>
      </w:tblGrid>
      <w:tr>
        <w:trPr/>
        <w:tc>
          <w:tcPr>
            <w:tcW w:w="261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Недостатки, выявленные в ходе независимой оценки качества условий оказания услуг организацией</w:t>
            </w:r>
            <w:r/>
          </w:p>
        </w:tc>
        <w:tc>
          <w:tcPr>
            <w:gridSpan w:val="2"/>
            <w:tcW w:w="429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  <w:r/>
          </w:p>
        </w:tc>
        <w:tc>
          <w:tcPr>
            <w:gridSpan w:val="2"/>
            <w:tcW w:w="16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Плановый срок реализации мероприятия</w:t>
            </w:r>
            <w:r/>
          </w:p>
        </w:tc>
        <w:tc>
          <w:tcPr>
            <w:gridSpan w:val="2"/>
            <w:tcW w:w="256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 указанием фамилии, имени, отчества и должности) </w:t>
            </w:r>
            <w:r/>
          </w:p>
        </w:tc>
        <w:tc>
          <w:tcPr>
            <w:gridSpan w:val="2"/>
            <w:tcW w:w="36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ходе реализации мероприятия </w:t>
            </w:r>
            <w:r/>
          </w:p>
        </w:tc>
      </w:tr>
      <w:tr>
        <w:trPr/>
        <w:tc>
          <w:tcPr>
            <w:tcW w:w="2616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4296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3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566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90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реализованные меры по устранению выявленных недостатков</w:t>
            </w:r>
            <w:r/>
          </w:p>
        </w:tc>
        <w:tc>
          <w:tcPr>
            <w:tcW w:w="173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фактический срок реализации</w:t>
            </w:r>
            <w:r/>
          </w:p>
        </w:tc>
      </w:tr>
      <w:tr>
        <w:trPr>
          <w:trHeight w:val="436"/>
        </w:trPr>
        <w:tc>
          <w:tcPr>
            <w:gridSpan w:val="9"/>
            <w:tcW w:w="14786" w:type="dxa"/>
            <w:textDirection w:val="lrTb"/>
            <w:noWrap w:val="false"/>
          </w:tcPr>
          <w:p>
            <w:pPr>
              <w:pStyle w:val="722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tcW w:w="26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Информация об организации, размещенная на информационных стендах и официальном сайте соответствует установленным нормативными правовыми актами требованиям к объему информации о деятельности учреждения, которая должна быть размещена на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общедо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ступных информационных ресурсах,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практически в полном объеме</w:t>
            </w:r>
            <w:r/>
          </w:p>
        </w:tc>
        <w:tc>
          <w:tcPr>
            <w:gridSpan w:val="2"/>
            <w:tcW w:w="42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ривести содержание и форму предоставления информации о деятельности медицинской организации на официальном сайте в соответствие с Приказом Министерства здравоохранения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30.12.2014 г. № 956н.</w:t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ривести в соответствие с действующими нормативами информационные стенды во всех подразделениях медицинской организации.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бновление по мере изменения нормативных актов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566" w:type="dxa"/>
            <w:textDirection w:val="lrTb"/>
            <w:noWrap w:val="false"/>
          </w:tcPr>
          <w:p>
            <w:pPr>
              <w:pStyle w:val="7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врач </w:t>
            </w:r>
            <w:r>
              <w:rPr>
                <w:rFonts w:ascii="Times New Roman" w:hAnsi="Times New Roman" w:cs="Times New Roman"/>
              </w:rPr>
              <w:t xml:space="preserve">Руднева Н.С.</w:t>
            </w:r>
            <w:r>
              <w:rPr>
                <w:rFonts w:ascii="Times New Roman" w:hAnsi="Times New Roman" w:cs="Times New Roman"/>
              </w:rPr>
              <w:t xml:space="preserve">,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главного врача по ИТ и ИБ Борисов С.В.</w:t>
            </w:r>
            <w:r/>
          </w:p>
        </w:tc>
        <w:tc>
          <w:tcPr>
            <w:tcW w:w="19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9"/>
            <w:tcW w:w="14786" w:type="dxa"/>
            <w:textDirection w:val="lrTb"/>
            <w:noWrap w:val="false"/>
          </w:tcPr>
          <w:p>
            <w:pPr>
              <w:pStyle w:val="722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условий предоставления услуг</w:t>
            </w:r>
            <w:r/>
          </w:p>
        </w:tc>
      </w:tr>
      <w:tr>
        <w:trPr>
          <w:trHeight w:val="1440"/>
        </w:trPr>
        <w:tc>
          <w:tcPr>
            <w:tcW w:w="2616" w:type="dxa"/>
            <w:textDirection w:val="lrTb"/>
            <w:noWrap w:val="false"/>
          </w:tcPr>
          <w:p>
            <w:pPr>
              <w:pStyle w:val="72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омфортность пребывания в поликлинике, стационаре, филиалах учреждения </w:t>
            </w:r>
            <w:r/>
          </w:p>
        </w:tc>
        <w:tc>
          <w:tcPr>
            <w:gridSpan w:val="2"/>
            <w:tcW w:w="4296" w:type="dxa"/>
            <w:textDirection w:val="lrTb"/>
            <w:noWrap w:val="false"/>
          </w:tcPr>
          <w:p>
            <w:pPr>
              <w:jc w:val="both"/>
              <w:tabs>
                <w:tab w:val="left" w:pos="3453" w:leader="none"/>
                <w:tab w:val="left" w:pos="681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ровести оценку состояния и, при выявлении необходимости, ремонт помещений организации; </w:t>
            </w:r>
            <w:r/>
          </w:p>
          <w:p>
            <w:pPr>
              <w:jc w:val="both"/>
              <w:tabs>
                <w:tab w:val="left" w:pos="3453" w:leader="none"/>
                <w:tab w:val="left" w:pos="681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3453" w:leader="none"/>
                <w:tab w:val="left" w:pos="681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Оптимизировать навигационные таблички </w:t>
            </w:r>
            <w:r/>
          </w:p>
        </w:tc>
        <w:tc>
          <w:tcPr>
            <w:gridSpan w:val="2"/>
            <w:tcW w:w="1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</w:t>
            </w:r>
            <w:r/>
          </w:p>
        </w:tc>
        <w:tc>
          <w:tcPr>
            <w:gridSpan w:val="2"/>
            <w:tcW w:w="2566" w:type="dxa"/>
            <w:textDirection w:val="lrTb"/>
            <w:noWrap w:val="false"/>
          </w:tcPr>
          <w:p>
            <w:pPr>
              <w:pStyle w:val="7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врач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Руднева Н.С.</w:t>
            </w:r>
            <w:r/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  <w:p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Кореньдясев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</w:t>
            </w:r>
            <w:r>
              <w:rPr>
                <w:lang w:eastAsia="ru-RU"/>
              </w:rPr>
              <w:t xml:space="preserve">.</w:t>
            </w:r>
            <w:r/>
          </w:p>
        </w:tc>
        <w:tc>
          <w:tcPr>
            <w:tcW w:w="19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7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26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временем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жидания предоставления медицинских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амбулаторной форме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4296" w:type="dxa"/>
            <w:textDirection w:val="lrTb"/>
            <w:noWrap w:val="false"/>
          </w:tcPr>
          <w:p>
            <w:pPr>
              <w:pStyle w:val="72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Ежемесячный анализ сроков ожидания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врача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анкетирования получателей услуг. </w:t>
            </w:r>
            <w:r/>
          </w:p>
          <w:p>
            <w:pPr>
              <w:pStyle w:val="72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both"/>
              <w:tabs>
                <w:tab w:val="left" w:pos="3453" w:leader="none"/>
                <w:tab w:val="left" w:pos="6813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ассмотре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ние возможности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оптимизации процесса оформления и приема амбулаторных пациентов с целью сокращения времени ожидания предоставления медицинских услуг.</w:t>
            </w:r>
            <w:r/>
          </w:p>
          <w:p>
            <w:pPr>
              <w:pStyle w:val="722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W w:w="256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врача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лечебной части Натарова Э.В.,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ВРИО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заместителя главного врача по поликлинической работе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Драчев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С.Н.</w:t>
            </w:r>
            <w:r/>
          </w:p>
          <w:p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9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9"/>
            <w:tcW w:w="14786" w:type="dxa"/>
            <w:textDirection w:val="lrTb"/>
            <w:noWrap w:val="false"/>
          </w:tcPr>
          <w:p>
            <w:pPr>
              <w:pStyle w:val="722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услуг для инвалидов</w:t>
            </w:r>
            <w:r/>
          </w:p>
        </w:tc>
      </w:tr>
      <w:tr>
        <w:trPr>
          <w:trHeight w:val="1442"/>
        </w:trPr>
        <w:tc>
          <w:tcPr>
            <w:tcW w:w="26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Комфортность получения услуг маломобильными гражданами</w:t>
            </w:r>
            <w:r/>
          </w:p>
        </w:tc>
        <w:tc>
          <w:tcPr>
            <w:gridSpan w:val="2"/>
            <w:tcW w:w="4296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3453" w:leader="none"/>
                <w:tab w:val="left" w:pos="6813" w:leader="none"/>
              </w:tabs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редпринять меры по повышению доступности услуг организации (включая филиалы) для инвалидов и лиц с ограниченными возможностями здоровья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67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566" w:type="dxa"/>
            <w:textDirection w:val="lrTb"/>
            <w:noWrap w:val="false"/>
          </w:tcPr>
          <w:p>
            <w:pPr>
              <w:pStyle w:val="723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Кореньдясев</w:t>
            </w:r>
            <w:r>
              <w:rPr>
                <w:rFonts w:ascii="Times New Roman" w:hAnsi="Times New Roman" w:cs="Times New Roman"/>
              </w:rPr>
              <w:t xml:space="preserve"> Е.В.</w:t>
            </w:r>
            <w:r/>
          </w:p>
        </w:tc>
        <w:tc>
          <w:tcPr>
            <w:tcW w:w="19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9"/>
            <w:tcW w:w="14786" w:type="dxa"/>
            <w:textDirection w:val="lrTb"/>
            <w:noWrap w:val="false"/>
          </w:tcPr>
          <w:p>
            <w:pPr>
              <w:pStyle w:val="722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</w:t>
            </w:r>
            <w:r/>
          </w:p>
        </w:tc>
      </w:tr>
      <w:tr>
        <w:trPr/>
        <w:tc>
          <w:tcPr>
            <w:tcW w:w="2616" w:type="dxa"/>
            <w:textDirection w:val="lrTb"/>
            <w:noWrap w:val="false"/>
          </w:tcPr>
          <w:p>
            <w:pPr>
              <w:pStyle w:val="7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Доброжелательность, вежливость медперсонала поликлиник, стационаров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3"/>
            <w:tcW w:w="4357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3453" w:leader="none"/>
                <w:tab w:val="left" w:pos="6813" w:leader="none"/>
              </w:tabs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ровести дополнительный инструктаж сотрудников, взаимодействующих с получателями услуг, о необходимости соблюдения этических норм и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правил делового общения.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заседаний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по этике и деонтологии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учреждении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обращений граждан, при оказании медицинской помощи населению.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анонимного анкетирования пациентов, по качеству оказания медицинской помощи.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бучающи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тренинг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 работник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контактирующими с получателями услуг</w:t>
            </w:r>
            <w:r/>
          </w:p>
        </w:tc>
        <w:tc>
          <w:tcPr>
            <w:gridSpan w:val="2"/>
            <w:tcW w:w="16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поступлении обращений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</w:t>
            </w:r>
            <w:r/>
          </w:p>
        </w:tc>
        <w:tc>
          <w:tcPr>
            <w:tcW w:w="25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по этике и деонтологии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Залыгаева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  <w:r/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по этике и деонтологии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Залыгаева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Главный врач </w:t>
            </w:r>
            <w:r>
              <w:rPr>
                <w:rFonts w:ascii="Times New Roman" w:hAnsi="Times New Roman"/>
              </w:rPr>
              <w:t xml:space="preserve">Руднева Н.С.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главного врача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лечебной части Натарова Э.В., заместитель главного врача по КЭР Климанова А.В.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7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главного врача по КЭР Климанова А.В, председатель комиссии по НОК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Дешко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О.О.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Натарова ЭВ</w:t>
            </w:r>
            <w:r/>
          </w:p>
        </w:tc>
        <w:tc>
          <w:tcPr>
            <w:tcW w:w="19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9"/>
            <w:tcW w:w="14786" w:type="dxa"/>
            <w:textDirection w:val="lrTb"/>
            <w:noWrap w:val="false"/>
          </w:tcPr>
          <w:p>
            <w:pPr>
              <w:pStyle w:val="722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условиями оказания услуг</w:t>
            </w:r>
            <w:r/>
          </w:p>
        </w:tc>
      </w:tr>
      <w:tr>
        <w:trPr/>
        <w:tc>
          <w:tcPr>
            <w:gridSpan w:val="2"/>
            <w:tcW w:w="26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Удовлетворенность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получателей услуг условиями оказания услуг</w:t>
            </w:r>
            <w:r/>
          </w:p>
        </w:tc>
        <w:tc>
          <w:tcPr>
            <w:gridSpan w:val="2"/>
            <w:tcW w:w="4313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3453" w:leader="none"/>
                <w:tab w:val="left" w:pos="6813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Устранение недочетов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 всем критериям независимой оценки качества (в том числе соблюдение времени приема)</w:t>
            </w:r>
            <w:r/>
          </w:p>
        </w:tc>
        <w:tc>
          <w:tcPr>
            <w:gridSpan w:val="2"/>
            <w:tcW w:w="16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остоянно</w:t>
            </w:r>
            <w:r/>
          </w:p>
        </w:tc>
        <w:tc>
          <w:tcPr>
            <w:tcW w:w="253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ВРИО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заместителя главного врача по поликлинической работе</w:t>
            </w:r>
            <w:r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Драчев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С.Н.</w:t>
            </w:r>
            <w:r/>
          </w:p>
          <w:p>
            <w:pPr>
              <w:pStyle w:val="7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6838" w:h="11906" w:orient="landscape"/>
      <w:pgMar w:top="850" w:right="1134" w:bottom="1701" w:left="1134" w:header="708" w:footer="708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7483701"/>
      <w:docPartObj>
        <w:docPartGallery w:val="Page Numbers (Top of Page)"/>
        <w:docPartUnique w:val="true"/>
      </w:docPartObj>
      <w:rPr/>
    </w:sdtPr>
    <w:sdtContent>
      <w:p>
        <w:pPr>
          <w:pStyle w:val="724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"/>
  </w:num>
  <w:num w:numId="5">
    <w:abstractNumId w:val="19"/>
  </w:num>
  <w:num w:numId="6">
    <w:abstractNumId w:val="25"/>
  </w:num>
  <w:num w:numId="7">
    <w:abstractNumId w:val="0"/>
  </w:num>
  <w:num w:numId="8">
    <w:abstractNumId w:val="10"/>
  </w:num>
  <w:num w:numId="9">
    <w:abstractNumId w:val="23"/>
  </w:num>
  <w:num w:numId="10">
    <w:abstractNumId w:val="4"/>
  </w:num>
  <w:num w:numId="11">
    <w:abstractNumId w:val="12"/>
  </w:num>
  <w:num w:numId="12">
    <w:abstractNumId w:val="2"/>
  </w:num>
  <w:num w:numId="13">
    <w:abstractNumId w:val="17"/>
  </w:num>
  <w:num w:numId="14">
    <w:abstractNumId w:val="11"/>
  </w:num>
  <w:num w:numId="15">
    <w:abstractNumId w:val="7"/>
  </w:num>
  <w:num w:numId="16">
    <w:abstractNumId w:val="18"/>
  </w:num>
  <w:num w:numId="17">
    <w:abstractNumId w:val="21"/>
  </w:num>
  <w:num w:numId="18">
    <w:abstractNumId w:val="6"/>
  </w:num>
  <w:num w:numId="19">
    <w:abstractNumId w:val="9"/>
  </w:num>
  <w:num w:numId="20">
    <w:abstractNumId w:val="5"/>
  </w:num>
  <w:num w:numId="21">
    <w:abstractNumId w:val="16"/>
  </w:num>
  <w:num w:numId="22">
    <w:abstractNumId w:val="15"/>
  </w:num>
  <w:num w:numId="23">
    <w:abstractNumId w:val="22"/>
  </w:num>
  <w:num w:numId="24">
    <w:abstractNumId w:val="26"/>
  </w:num>
  <w:num w:numId="25">
    <w:abstractNumId w:val="8"/>
  </w:num>
  <w:num w:numId="26">
    <w:abstractNumId w:val="28"/>
  </w:num>
  <w:num w:numId="27">
    <w:abstractNumId w:val="27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7"/>
    <w:next w:val="7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7"/>
    <w:next w:val="7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7"/>
    <w:next w:val="7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7"/>
    <w:next w:val="7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7"/>
    <w:next w:val="7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7"/>
    <w:next w:val="7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7"/>
    <w:next w:val="7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7"/>
    <w:next w:val="7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7"/>
    <w:next w:val="7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7"/>
    <w:next w:val="7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8"/>
    <w:link w:val="34"/>
    <w:uiPriority w:val="10"/>
    <w:rPr>
      <w:sz w:val="48"/>
      <w:szCs w:val="48"/>
    </w:rPr>
  </w:style>
  <w:style w:type="paragraph" w:styleId="36">
    <w:name w:val="Subtitle"/>
    <w:basedOn w:val="717"/>
    <w:next w:val="7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8"/>
    <w:link w:val="36"/>
    <w:uiPriority w:val="11"/>
    <w:rPr>
      <w:sz w:val="24"/>
      <w:szCs w:val="24"/>
    </w:rPr>
  </w:style>
  <w:style w:type="paragraph" w:styleId="38">
    <w:name w:val="Quote"/>
    <w:basedOn w:val="717"/>
    <w:next w:val="7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7"/>
    <w:next w:val="7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8"/>
    <w:link w:val="724"/>
    <w:uiPriority w:val="99"/>
  </w:style>
  <w:style w:type="character" w:styleId="45">
    <w:name w:val="Footer Char"/>
    <w:basedOn w:val="718"/>
    <w:link w:val="726"/>
    <w:uiPriority w:val="99"/>
  </w:style>
  <w:style w:type="paragraph" w:styleId="46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6"/>
    <w:uiPriority w:val="99"/>
  </w:style>
  <w:style w:type="table" w:styleId="49">
    <w:name w:val="Table Grid Light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8"/>
    <w:uiPriority w:val="99"/>
    <w:unhideWhenUsed/>
    <w:rPr>
      <w:vertAlign w:val="superscript"/>
    </w:rPr>
  </w:style>
  <w:style w:type="paragraph" w:styleId="178">
    <w:name w:val="endnote text"/>
    <w:basedOn w:val="7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8"/>
    <w:uiPriority w:val="99"/>
    <w:semiHidden/>
    <w:unhideWhenUsed/>
    <w:rPr>
      <w:vertAlign w:val="superscript"/>
    </w:rPr>
  </w:style>
  <w:style w:type="paragraph" w:styleId="181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qFormat/>
    <w:pPr>
      <w:jc w:val="center"/>
      <w:spacing w:after="0" w:line="240" w:lineRule="auto"/>
    </w:pPr>
    <w:rPr>
      <w:rFonts w:ascii="Calibri" w:hAnsi="Calibri" w:eastAsia="Calibri" w:cs="Times New Roman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table" w:styleId="721">
    <w:name w:val="Table Grid"/>
    <w:basedOn w:val="7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2">
    <w:name w:val="List Paragraph"/>
    <w:basedOn w:val="717"/>
    <w:uiPriority w:val="99"/>
    <w:qFormat/>
    <w:pPr>
      <w:contextualSpacing/>
      <w:ind w:left="720"/>
      <w:jc w:val="left"/>
      <w:spacing w:after="200" w:line="276" w:lineRule="auto"/>
    </w:pPr>
    <w:rPr>
      <w:rFonts w:asciiTheme="minorHAnsi" w:hAnsiTheme="minorHAnsi" w:eastAsiaTheme="minorHAnsi" w:cstheme="minorBidi"/>
    </w:rPr>
  </w:style>
  <w:style w:type="paragraph" w:styleId="723" w:customStyle="1">
    <w:name w:val="Нормальный (таблица)"/>
    <w:basedOn w:val="717"/>
    <w:next w:val="717"/>
    <w:pPr>
      <w:jc w:val="both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724">
    <w:name w:val="Header"/>
    <w:basedOn w:val="717"/>
    <w:link w:val="72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5" w:customStyle="1">
    <w:name w:val="Верхний колонтитул Знак"/>
    <w:basedOn w:val="718"/>
    <w:link w:val="724"/>
    <w:uiPriority w:val="99"/>
    <w:rPr>
      <w:rFonts w:ascii="Calibri" w:hAnsi="Calibri" w:eastAsia="Calibri" w:cs="Times New Roman"/>
    </w:rPr>
  </w:style>
  <w:style w:type="paragraph" w:styleId="726">
    <w:name w:val="Footer"/>
    <w:basedOn w:val="717"/>
    <w:link w:val="72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7" w:customStyle="1">
    <w:name w:val="Нижний колонтитул Знак"/>
    <w:basedOn w:val="718"/>
    <w:link w:val="726"/>
    <w:uiPriority w:val="99"/>
    <w:rPr>
      <w:rFonts w:ascii="Calibri" w:hAnsi="Calibri" w:eastAsia="Calibri" w:cs="Times New Roman"/>
    </w:rPr>
  </w:style>
  <w:style w:type="character" w:styleId="728" w:customStyle="1">
    <w:name w:val="Основной текст_"/>
    <w:basedOn w:val="718"/>
    <w:link w:val="729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paragraph" w:styleId="729" w:customStyle="1">
    <w:name w:val="Основной текст1"/>
    <w:basedOn w:val="717"/>
    <w:link w:val="728"/>
    <w:pPr>
      <w:jc w:val="left"/>
      <w:spacing w:line="0" w:lineRule="atLeast"/>
      <w:shd w:val="clear" w:color="auto" w:fill="ffffff"/>
    </w:pPr>
    <w:rPr>
      <w:rFonts w:ascii="Times New Roman" w:hAnsi="Times New Roman" w:eastAsia="Times New Roman"/>
      <w:sz w:val="19"/>
      <w:szCs w:val="19"/>
    </w:rPr>
  </w:style>
  <w:style w:type="character" w:styleId="730" w:customStyle="1">
    <w:name w:val="Основной текст (5)_"/>
    <w:basedOn w:val="718"/>
    <w:link w:val="731"/>
    <w:rPr>
      <w:rFonts w:ascii="Times New Roman" w:hAnsi="Times New Roman" w:eastAsia="Times New Roman" w:cs="Times New Roman"/>
      <w:sz w:val="25"/>
      <w:szCs w:val="25"/>
      <w:shd w:val="clear" w:color="auto" w:fill="ffffff"/>
    </w:rPr>
  </w:style>
  <w:style w:type="paragraph" w:styleId="731" w:customStyle="1">
    <w:name w:val="Основной текст (5)"/>
    <w:basedOn w:val="717"/>
    <w:link w:val="730"/>
    <w:pPr>
      <w:spacing w:before="1140" w:after="480" w:line="509" w:lineRule="exact"/>
      <w:shd w:val="clear" w:color="auto" w:fill="ffffff"/>
    </w:pPr>
    <w:rPr>
      <w:rFonts w:ascii="Times New Roman" w:hAnsi="Times New Roman" w:eastAsia="Times New Roman"/>
      <w:sz w:val="25"/>
      <w:szCs w:val="25"/>
    </w:rPr>
  </w:style>
  <w:style w:type="table" w:styleId="732" w:customStyle="1">
    <w:name w:val="Сетка таблицы1"/>
    <w:basedOn w:val="719"/>
    <w:next w:val="72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5884-279F-4677-BC7E-E4C6EA2C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Мостовщикова Виолетта Владимировна</dc:creator>
  <cp:revision>5</cp:revision>
  <dcterms:created xsi:type="dcterms:W3CDTF">2023-03-28T09:41:00Z</dcterms:created>
  <dcterms:modified xsi:type="dcterms:W3CDTF">2024-02-13T06:39:40Z</dcterms:modified>
</cp:coreProperties>
</file>